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A" w:rsidRPr="00732F6A" w:rsidRDefault="00732F6A" w:rsidP="003D078A">
      <w:pPr>
        <w:jc w:val="center"/>
        <w:rPr>
          <w:rFonts w:ascii="Tahoma" w:hAnsi="Tahoma" w:cs="Tahoma"/>
          <w:sz w:val="40"/>
          <w:szCs w:val="40"/>
        </w:rPr>
      </w:pPr>
      <w:r w:rsidRPr="00732F6A">
        <w:rPr>
          <w:rFonts w:ascii="Tahoma" w:hAnsi="Tahoma" w:cs="Tahoma"/>
          <w:sz w:val="40"/>
          <w:szCs w:val="40"/>
        </w:rPr>
        <w:t>Are You Leaving Money on the Table?</w:t>
      </w:r>
    </w:p>
    <w:p w:rsidR="003D078A" w:rsidRPr="00AA337A" w:rsidRDefault="00732F6A" w:rsidP="00732F6A">
      <w:pPr>
        <w:tabs>
          <w:tab w:val="left" w:pos="57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32F6A" w:rsidRPr="00732F6A" w:rsidRDefault="00732F6A" w:rsidP="00732F6A">
      <w:pPr>
        <w:pStyle w:val="BodyText"/>
        <w:jc w:val="center"/>
        <w:rPr>
          <w:rFonts w:ascii="Tahoma" w:hAnsi="Tahoma" w:cs="Tahoma"/>
          <w:i w:val="0"/>
          <w:sz w:val="36"/>
          <w:szCs w:val="36"/>
        </w:rPr>
      </w:pPr>
      <w:r w:rsidRPr="00732F6A">
        <w:rPr>
          <w:rFonts w:ascii="Tahoma" w:hAnsi="Tahoma" w:cs="Tahoma"/>
          <w:i w:val="0"/>
          <w:sz w:val="36"/>
          <w:szCs w:val="36"/>
        </w:rPr>
        <w:t>Month End Closing Checklist</w:t>
      </w:r>
      <w:bookmarkStart w:id="0" w:name="_GoBack"/>
      <w:bookmarkEnd w:id="0"/>
    </w:p>
    <w:p w:rsidR="00732F6A" w:rsidRDefault="00732F6A" w:rsidP="003D078A">
      <w:pPr>
        <w:pStyle w:val="BodyText"/>
        <w:rPr>
          <w:rFonts w:ascii="Tahoma" w:hAnsi="Tahoma" w:cs="Tahoma"/>
          <w:i w:val="0"/>
        </w:rPr>
      </w:pPr>
    </w:p>
    <w:p w:rsidR="003D078A" w:rsidRPr="00AA337A" w:rsidRDefault="003D078A" w:rsidP="003D078A">
      <w:pPr>
        <w:pStyle w:val="BodyText"/>
        <w:rPr>
          <w:rFonts w:ascii="Tahoma" w:hAnsi="Tahoma" w:cs="Tahoma"/>
        </w:rPr>
      </w:pPr>
      <w:r w:rsidRPr="00AA337A">
        <w:rPr>
          <w:rFonts w:ascii="Tahoma" w:hAnsi="Tahoma" w:cs="Tahoma"/>
          <w:i w:val="0"/>
        </w:rPr>
        <w:t>This checklist is a general guide when closing your accounting period in Advisor</w:t>
      </w:r>
      <w:r w:rsidRPr="00AA337A">
        <w:rPr>
          <w:rFonts w:ascii="Tahoma" w:hAnsi="Tahoma" w:cs="Tahoma"/>
        </w:rPr>
        <w:t xml:space="preserve">.  </w:t>
      </w:r>
    </w:p>
    <w:p w:rsidR="003D078A" w:rsidRPr="00211A7F" w:rsidRDefault="003D078A" w:rsidP="003D078A">
      <w:pPr>
        <w:rPr>
          <w:rFonts w:ascii="Tahoma" w:hAnsi="Tahoma" w:cs="Tahoma"/>
          <w:iCs/>
        </w:rPr>
      </w:pPr>
      <w:r w:rsidRPr="00AA337A">
        <w:rPr>
          <w:rFonts w:ascii="Tahoma" w:hAnsi="Tahoma" w:cs="Tahoma"/>
          <w:i/>
          <w:iCs/>
        </w:rPr>
        <w:t xml:space="preserve"> </w:t>
      </w:r>
    </w:p>
    <w:p w:rsidR="003D078A" w:rsidRPr="00AA337A" w:rsidRDefault="003D078A" w:rsidP="00FB493F">
      <w:pPr>
        <w:pStyle w:val="Subtitle"/>
        <w:ind w:left="0"/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Ensure that all billing has been entered and invoiced, that all payments have been applied, and that all revenue and cash receipts are posted in your general ledger.</w:t>
      </w:r>
    </w:p>
    <w:p w:rsidR="003D078A" w:rsidRPr="00AA337A" w:rsidRDefault="003D078A" w:rsidP="003D078A">
      <w:pPr>
        <w:pStyle w:val="Subtitle"/>
        <w:jc w:val="left"/>
        <w:rPr>
          <w:rFonts w:ascii="Tahoma" w:hAnsi="Tahoma" w:cs="Tahoma"/>
          <w:sz w:val="24"/>
          <w:szCs w:val="24"/>
        </w:rPr>
      </w:pPr>
    </w:p>
    <w:p w:rsidR="003D078A" w:rsidRPr="00AA337A" w:rsidRDefault="003D078A" w:rsidP="003D078A">
      <w:pPr>
        <w:numPr>
          <w:ilvl w:val="0"/>
          <w:numId w:val="3"/>
        </w:numPr>
        <w:rPr>
          <w:rFonts w:ascii="Tahoma" w:hAnsi="Tahoma" w:cs="Tahoma"/>
        </w:rPr>
      </w:pPr>
      <w:r w:rsidRPr="00AA337A">
        <w:rPr>
          <w:rFonts w:ascii="Tahoma" w:hAnsi="Tahoma" w:cs="Tahoma"/>
        </w:rPr>
        <w:t>Run the following Reports from Advisor to verify all possible billing has been invoiced:</w:t>
      </w:r>
    </w:p>
    <w:p w:rsidR="003D078A" w:rsidRPr="00FB493F" w:rsidRDefault="003D078A" w:rsidP="00FB493F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B493F">
        <w:rPr>
          <w:rFonts w:ascii="Tahoma" w:hAnsi="Tahoma" w:cs="Tahoma"/>
        </w:rPr>
        <w:t>Claims Listing Report – Not Invoiced - Set Filter ‘Billing Flag’ = ‘OK’ - These are billing records that are OK but have not been invoiced.  Create any invoices as required.</w:t>
      </w:r>
    </w:p>
    <w:p w:rsidR="003D078A" w:rsidRPr="00FB493F" w:rsidRDefault="003D078A" w:rsidP="00FB493F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B493F">
        <w:rPr>
          <w:rFonts w:ascii="Tahoma" w:hAnsi="Tahoma" w:cs="Tahoma"/>
        </w:rPr>
        <w:t>Claims Listing Report – Over-Utilized Only - This is a final check to ensure that all authorizations have been reviewed and/or resolved.   If you are able to resolve any additional claims, be sure to create invoices accordingly.</w:t>
      </w:r>
    </w:p>
    <w:p w:rsidR="003D078A" w:rsidRPr="00AA337A" w:rsidRDefault="003D078A" w:rsidP="00FB493F">
      <w:pPr>
        <w:pStyle w:val="Subtitle"/>
        <w:numPr>
          <w:ilvl w:val="0"/>
          <w:numId w:val="9"/>
        </w:numPr>
        <w:tabs>
          <w:tab w:val="left" w:pos="1800"/>
        </w:tabs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Claims Listing Report – Pending Only - Double-check claims on this report to ensure that they are all still awaiting an official authorization.  Enter any new authorizations that may release these records and create invoices as necessary.</w:t>
      </w:r>
    </w:p>
    <w:p w:rsidR="00211A7F" w:rsidRPr="00732F6A" w:rsidRDefault="003D078A" w:rsidP="00732F6A">
      <w:pPr>
        <w:pStyle w:val="Subtitle"/>
        <w:numPr>
          <w:ilvl w:val="0"/>
          <w:numId w:val="9"/>
        </w:numPr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Claims Listing Report – Set Filter ‘Billing Flag’ = ‘Non Billable’ - Be sure that any non-billable rows of billing created via single entry, Day Services or Transportation have been resolved.</w:t>
      </w:r>
    </w:p>
    <w:p w:rsidR="003D078A" w:rsidRPr="00AA337A" w:rsidRDefault="003D078A" w:rsidP="00FB493F">
      <w:pPr>
        <w:pStyle w:val="Subtitle"/>
        <w:numPr>
          <w:ilvl w:val="0"/>
          <w:numId w:val="9"/>
        </w:numPr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Single-Entry Detail by Employee - Set Filter ‘Processed’ = ‘N’ - Ensure that all Single-Entry entries have been batched.  Report should be blank through period end you are closing.</w:t>
      </w:r>
    </w:p>
    <w:p w:rsidR="003D078A" w:rsidRPr="00AA337A" w:rsidRDefault="003D078A" w:rsidP="00FB493F">
      <w:pPr>
        <w:pStyle w:val="Subtitle"/>
        <w:numPr>
          <w:ilvl w:val="0"/>
          <w:numId w:val="9"/>
        </w:numPr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 xml:space="preserve">Day Service Activity – Waiting to be </w:t>
      </w:r>
      <w:proofErr w:type="gramStart"/>
      <w:r w:rsidRPr="00AA337A">
        <w:rPr>
          <w:rFonts w:ascii="Tahoma" w:hAnsi="Tahoma" w:cs="Tahoma"/>
          <w:sz w:val="24"/>
          <w:szCs w:val="24"/>
        </w:rPr>
        <w:t>Batched</w:t>
      </w:r>
      <w:proofErr w:type="gramEnd"/>
      <w:r w:rsidRPr="00AA337A">
        <w:rPr>
          <w:rFonts w:ascii="Tahoma" w:hAnsi="Tahoma" w:cs="Tahoma"/>
          <w:sz w:val="24"/>
          <w:szCs w:val="24"/>
        </w:rPr>
        <w:t xml:space="preserve"> -</w:t>
      </w:r>
      <w:r w:rsidRPr="00AA337A">
        <w:rPr>
          <w:rFonts w:ascii="Tahoma" w:hAnsi="Tahoma" w:cs="Tahoma"/>
        </w:rPr>
        <w:t xml:space="preserve"> </w:t>
      </w:r>
      <w:r w:rsidRPr="00AA337A">
        <w:rPr>
          <w:rFonts w:ascii="Tahoma" w:hAnsi="Tahoma" w:cs="Tahoma"/>
          <w:sz w:val="24"/>
          <w:szCs w:val="24"/>
        </w:rPr>
        <w:t>Ensure that all Day Service entries have been batched.  Report should be blank through period end you are closing.</w:t>
      </w:r>
    </w:p>
    <w:p w:rsidR="003D078A" w:rsidRPr="00AA337A" w:rsidRDefault="003D078A" w:rsidP="00FB493F">
      <w:pPr>
        <w:pStyle w:val="Subtitle"/>
        <w:numPr>
          <w:ilvl w:val="0"/>
          <w:numId w:val="9"/>
        </w:numPr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 xml:space="preserve">Transportation – Weekly Routes not </w:t>
      </w:r>
      <w:proofErr w:type="gramStart"/>
      <w:r w:rsidRPr="00AA337A">
        <w:rPr>
          <w:rFonts w:ascii="Tahoma" w:hAnsi="Tahoma" w:cs="Tahoma"/>
          <w:sz w:val="24"/>
          <w:szCs w:val="24"/>
        </w:rPr>
        <w:t>Billed</w:t>
      </w:r>
      <w:proofErr w:type="gramEnd"/>
      <w:r w:rsidRPr="00AA337A">
        <w:rPr>
          <w:rFonts w:ascii="Tahoma" w:hAnsi="Tahoma" w:cs="Tahoma"/>
          <w:sz w:val="24"/>
          <w:szCs w:val="24"/>
        </w:rPr>
        <w:t xml:space="preserve"> – Ensure that all Transportation route entries have been batched.  Report should be blank through period end you are closing.</w:t>
      </w:r>
    </w:p>
    <w:p w:rsidR="003D078A" w:rsidRPr="00AA337A" w:rsidRDefault="003D078A" w:rsidP="00FB493F">
      <w:pPr>
        <w:pStyle w:val="Subtitle"/>
        <w:numPr>
          <w:ilvl w:val="0"/>
          <w:numId w:val="9"/>
        </w:numPr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Case Notes – Detailed Case notes by Biller – Not batched - Ensure that all Case Notes entries have been batched.  Report should be blank through period end you are closing.</w:t>
      </w:r>
    </w:p>
    <w:p w:rsidR="003D078A" w:rsidRPr="00AA337A" w:rsidRDefault="003D078A" w:rsidP="00211A7F">
      <w:pPr>
        <w:pStyle w:val="Subtitle"/>
        <w:tabs>
          <w:tab w:val="left" w:pos="1800"/>
        </w:tabs>
        <w:ind w:left="0"/>
        <w:jc w:val="left"/>
        <w:rPr>
          <w:rFonts w:ascii="Tahoma" w:hAnsi="Tahoma" w:cs="Tahoma"/>
          <w:i/>
          <w:iCs/>
          <w:sz w:val="24"/>
          <w:szCs w:val="24"/>
        </w:rPr>
      </w:pPr>
    </w:p>
    <w:p w:rsidR="003D078A" w:rsidRPr="00AA337A" w:rsidRDefault="003D078A" w:rsidP="003D078A">
      <w:pPr>
        <w:pStyle w:val="Subtitle"/>
        <w:numPr>
          <w:ilvl w:val="0"/>
          <w:numId w:val="3"/>
        </w:numPr>
        <w:tabs>
          <w:tab w:val="left" w:pos="1800"/>
        </w:tabs>
        <w:jc w:val="left"/>
        <w:rPr>
          <w:rFonts w:ascii="Tahoma" w:hAnsi="Tahoma" w:cs="Tahoma"/>
          <w:i/>
          <w:i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If applicable write off any balances on existing records and uncollectible claims.</w:t>
      </w:r>
    </w:p>
    <w:p w:rsidR="003D078A" w:rsidRPr="00AA337A" w:rsidRDefault="003D078A" w:rsidP="003D078A">
      <w:pPr>
        <w:pStyle w:val="Subtitle"/>
        <w:tabs>
          <w:tab w:val="left" w:pos="1800"/>
        </w:tabs>
        <w:jc w:val="left"/>
        <w:rPr>
          <w:rFonts w:ascii="Tahoma" w:hAnsi="Tahoma" w:cs="Tahoma"/>
          <w:sz w:val="24"/>
          <w:szCs w:val="24"/>
        </w:rPr>
      </w:pPr>
    </w:p>
    <w:p w:rsidR="003D078A" w:rsidRPr="00AA337A" w:rsidRDefault="003D078A" w:rsidP="003D078A">
      <w:pPr>
        <w:pStyle w:val="Subtitle"/>
        <w:numPr>
          <w:ilvl w:val="0"/>
          <w:numId w:val="3"/>
        </w:numPr>
        <w:tabs>
          <w:tab w:val="left" w:pos="1800"/>
        </w:tabs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lastRenderedPageBreak/>
        <w:t>Run the Aging Reports; verify your balance in Advisor matches your general ledger account balance.  If these balances do not match, run the following reports in Advisor:</w:t>
      </w:r>
    </w:p>
    <w:p w:rsidR="003D078A" w:rsidRPr="00AA337A" w:rsidRDefault="003D078A" w:rsidP="00FB493F">
      <w:pPr>
        <w:pStyle w:val="Subtitle"/>
        <w:numPr>
          <w:ilvl w:val="0"/>
          <w:numId w:val="10"/>
        </w:numPr>
        <w:tabs>
          <w:tab w:val="left" w:pos="1080"/>
        </w:tabs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Invoice Report – Summary - This report will show you all invoices created in Advisor for the specified period</w:t>
      </w:r>
    </w:p>
    <w:p w:rsidR="003D078A" w:rsidRDefault="003D078A" w:rsidP="00FB493F">
      <w:pPr>
        <w:pStyle w:val="Subtitle"/>
        <w:numPr>
          <w:ilvl w:val="0"/>
          <w:numId w:val="10"/>
        </w:numPr>
        <w:tabs>
          <w:tab w:val="left" w:pos="1080"/>
        </w:tabs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Payment Report – Summary - This report will show you all cash receipts applied in Advisor for a specified period.</w:t>
      </w:r>
    </w:p>
    <w:p w:rsidR="00211A7F" w:rsidRPr="00AA337A" w:rsidRDefault="00211A7F" w:rsidP="00211A7F">
      <w:pPr>
        <w:pStyle w:val="Subtitle"/>
        <w:tabs>
          <w:tab w:val="left" w:pos="1080"/>
        </w:tabs>
        <w:ind w:left="1440"/>
        <w:jc w:val="left"/>
        <w:rPr>
          <w:rFonts w:ascii="Tahoma" w:hAnsi="Tahoma" w:cs="Tahoma"/>
          <w:sz w:val="24"/>
          <w:szCs w:val="24"/>
        </w:rPr>
      </w:pPr>
    </w:p>
    <w:p w:rsidR="003D078A" w:rsidRPr="00AA337A" w:rsidRDefault="003D078A" w:rsidP="003D078A">
      <w:pPr>
        <w:pStyle w:val="Subtitle"/>
        <w:tabs>
          <w:tab w:val="left" w:pos="1800"/>
          <w:tab w:val="left" w:pos="2520"/>
        </w:tabs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 xml:space="preserve">Compare the general ledger entries with these reports: make additional entries or corrections as needed in either Advisor or the general ledger to reconcile the balances. Once corrections have been made, </w:t>
      </w:r>
      <w:r w:rsidR="00FB493F">
        <w:rPr>
          <w:rFonts w:ascii="Tahoma" w:hAnsi="Tahoma" w:cs="Tahoma"/>
          <w:sz w:val="24"/>
          <w:szCs w:val="24"/>
        </w:rPr>
        <w:t>r</w:t>
      </w:r>
      <w:r w:rsidRPr="00AA337A">
        <w:rPr>
          <w:rFonts w:ascii="Tahoma" w:hAnsi="Tahoma" w:cs="Tahoma"/>
          <w:sz w:val="24"/>
          <w:szCs w:val="24"/>
        </w:rPr>
        <w:t>efresh Advisor Aging Reports and rerun the Aging reports as necessary.</w:t>
      </w:r>
    </w:p>
    <w:p w:rsidR="003D078A" w:rsidRPr="00AA337A" w:rsidRDefault="003D078A" w:rsidP="003D078A">
      <w:pPr>
        <w:pStyle w:val="Subtitle"/>
        <w:tabs>
          <w:tab w:val="left" w:pos="1800"/>
          <w:tab w:val="left" w:pos="2520"/>
        </w:tabs>
        <w:jc w:val="left"/>
        <w:rPr>
          <w:rFonts w:ascii="Tahoma" w:hAnsi="Tahoma" w:cs="Tahoma"/>
          <w:sz w:val="24"/>
          <w:szCs w:val="24"/>
        </w:rPr>
      </w:pPr>
    </w:p>
    <w:p w:rsidR="003D078A" w:rsidRPr="00AA337A" w:rsidRDefault="003D078A" w:rsidP="003D078A">
      <w:pPr>
        <w:pStyle w:val="Subtitle"/>
        <w:numPr>
          <w:ilvl w:val="0"/>
          <w:numId w:val="3"/>
        </w:numPr>
        <w:tabs>
          <w:tab w:val="left" w:pos="1800"/>
        </w:tabs>
        <w:jc w:val="left"/>
        <w:rPr>
          <w:rFonts w:ascii="Tahoma" w:hAnsi="Tahoma" w:cs="Tahoma"/>
          <w:b/>
          <w:b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Accrue pending claims in your general ledger.  Run the following report in Advisor to create your accruing journal entry:</w:t>
      </w:r>
    </w:p>
    <w:p w:rsidR="003D078A" w:rsidRPr="00FB493F" w:rsidRDefault="003D078A" w:rsidP="00FB493F">
      <w:pPr>
        <w:pStyle w:val="Subtitle"/>
        <w:numPr>
          <w:ilvl w:val="0"/>
          <w:numId w:val="11"/>
        </w:numPr>
        <w:tabs>
          <w:tab w:val="left" w:pos="1080"/>
        </w:tabs>
        <w:jc w:val="left"/>
        <w:rPr>
          <w:rFonts w:ascii="Tahoma" w:hAnsi="Tahoma" w:cs="Tahoma"/>
          <w:b/>
          <w:bCs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Pending Claims Listing Summary</w:t>
      </w:r>
    </w:p>
    <w:p w:rsidR="003D078A" w:rsidRPr="00AC3779" w:rsidRDefault="003D078A" w:rsidP="003D078A">
      <w:pPr>
        <w:pStyle w:val="Subtitle"/>
        <w:tabs>
          <w:tab w:val="left" w:pos="1800"/>
          <w:tab w:val="left" w:pos="2520"/>
        </w:tabs>
        <w:ind w:left="360"/>
        <w:jc w:val="left"/>
        <w:rPr>
          <w:rFonts w:ascii="Tahoma" w:hAnsi="Tahoma" w:cs="Tahoma"/>
          <w:sz w:val="24"/>
          <w:szCs w:val="24"/>
        </w:rPr>
      </w:pPr>
    </w:p>
    <w:p w:rsidR="003D078A" w:rsidRPr="00AA337A" w:rsidRDefault="003D078A" w:rsidP="003D078A">
      <w:pPr>
        <w:pStyle w:val="Subtitle"/>
        <w:numPr>
          <w:ilvl w:val="0"/>
          <w:numId w:val="3"/>
        </w:numPr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>For those using the G/L Post Date accounting method, close the accounting period in Advisor:</w:t>
      </w:r>
    </w:p>
    <w:p w:rsidR="003D078A" w:rsidRPr="00AA337A" w:rsidRDefault="003D078A" w:rsidP="00FB493F">
      <w:pPr>
        <w:pStyle w:val="Subtitle"/>
        <w:numPr>
          <w:ilvl w:val="0"/>
          <w:numId w:val="13"/>
        </w:numPr>
        <w:tabs>
          <w:tab w:val="left" w:pos="1080"/>
        </w:tabs>
        <w:jc w:val="left"/>
        <w:rPr>
          <w:rFonts w:ascii="Tahoma" w:hAnsi="Tahoma" w:cs="Tahoma"/>
          <w:b/>
          <w:sz w:val="36"/>
          <w:szCs w:val="36"/>
        </w:rPr>
      </w:pPr>
      <w:r w:rsidRPr="00AA337A">
        <w:rPr>
          <w:rFonts w:ascii="Tahoma" w:hAnsi="Tahoma" w:cs="Tahoma"/>
          <w:sz w:val="24"/>
          <w:szCs w:val="24"/>
        </w:rPr>
        <w:t>From the Invoices &amp; Transmissions folder, select Set Invoicing Options.  Set the ‘G/L Posting Closed Through’ for the period end that you have finished.</w:t>
      </w:r>
    </w:p>
    <w:p w:rsidR="003D078A" w:rsidRPr="00AA337A" w:rsidRDefault="003D078A" w:rsidP="003D078A">
      <w:pPr>
        <w:rPr>
          <w:rFonts w:ascii="Tahoma" w:hAnsi="Tahoma" w:cs="Tahoma"/>
          <w:b/>
        </w:rPr>
      </w:pPr>
    </w:p>
    <w:p w:rsidR="003D078A" w:rsidRPr="00AA337A" w:rsidRDefault="003D078A" w:rsidP="003D078A">
      <w:pPr>
        <w:pStyle w:val="Subtitle"/>
        <w:numPr>
          <w:ilvl w:val="0"/>
          <w:numId w:val="3"/>
        </w:numPr>
        <w:jc w:val="left"/>
        <w:rPr>
          <w:rFonts w:ascii="Tahoma" w:hAnsi="Tahoma" w:cs="Tahoma"/>
          <w:sz w:val="24"/>
          <w:szCs w:val="24"/>
        </w:rPr>
      </w:pPr>
      <w:r w:rsidRPr="00AA337A">
        <w:rPr>
          <w:rFonts w:ascii="Tahoma" w:hAnsi="Tahoma" w:cs="Tahoma"/>
          <w:sz w:val="24"/>
          <w:szCs w:val="24"/>
        </w:rPr>
        <w:t xml:space="preserve">Close the </w:t>
      </w:r>
      <w:r w:rsidR="00211A7F">
        <w:rPr>
          <w:rFonts w:ascii="Tahoma" w:hAnsi="Tahoma" w:cs="Tahoma"/>
          <w:sz w:val="24"/>
          <w:szCs w:val="24"/>
        </w:rPr>
        <w:t xml:space="preserve">payment </w:t>
      </w:r>
      <w:r w:rsidRPr="00AA337A">
        <w:rPr>
          <w:rFonts w:ascii="Tahoma" w:hAnsi="Tahoma" w:cs="Tahoma"/>
          <w:sz w:val="24"/>
          <w:szCs w:val="24"/>
        </w:rPr>
        <w:t>period in Advisor:</w:t>
      </w:r>
    </w:p>
    <w:p w:rsidR="00AF60BC" w:rsidRPr="00AA337A" w:rsidRDefault="003D078A" w:rsidP="00FB493F">
      <w:pPr>
        <w:pStyle w:val="Subtitle"/>
        <w:numPr>
          <w:ilvl w:val="0"/>
          <w:numId w:val="8"/>
        </w:numPr>
        <w:tabs>
          <w:tab w:val="left" w:pos="1080"/>
        </w:tabs>
        <w:jc w:val="left"/>
        <w:rPr>
          <w:rFonts w:ascii="Tahoma" w:hAnsi="Tahoma" w:cs="Tahoma"/>
        </w:rPr>
      </w:pPr>
      <w:r w:rsidRPr="00AA337A">
        <w:rPr>
          <w:rFonts w:ascii="Tahoma" w:hAnsi="Tahoma" w:cs="Tahoma"/>
          <w:sz w:val="24"/>
          <w:szCs w:val="24"/>
        </w:rPr>
        <w:t xml:space="preserve">From the Payments &amp; Aging folder, select Set Payment Options.  Set the ‘Payments Closed Through’ for the </w:t>
      </w:r>
      <w:r w:rsidR="007D682F" w:rsidRPr="00AA337A">
        <w:rPr>
          <w:rFonts w:ascii="Tahoma" w:hAnsi="Tahoma" w:cs="Tahoma"/>
          <w:sz w:val="24"/>
          <w:szCs w:val="24"/>
        </w:rPr>
        <w:t>per</w:t>
      </w:r>
      <w:r w:rsidRPr="00AA337A">
        <w:rPr>
          <w:rFonts w:ascii="Tahoma" w:hAnsi="Tahoma" w:cs="Tahoma"/>
          <w:sz w:val="24"/>
          <w:szCs w:val="24"/>
        </w:rPr>
        <w:t>iod end that you have finished.</w:t>
      </w:r>
      <w:r w:rsidR="007D682F" w:rsidRPr="00AA337A">
        <w:rPr>
          <w:rFonts w:ascii="Tahoma" w:hAnsi="Tahoma" w:cs="Tahoma"/>
        </w:rPr>
        <w:t xml:space="preserve"> </w:t>
      </w:r>
    </w:p>
    <w:sectPr w:rsidR="00AF60BC" w:rsidRPr="00AA33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4D" w:rsidRDefault="001C024D" w:rsidP="003D078A">
      <w:r>
        <w:separator/>
      </w:r>
    </w:p>
  </w:endnote>
  <w:endnote w:type="continuationSeparator" w:id="0">
    <w:p w:rsidR="001C024D" w:rsidRDefault="001C024D" w:rsidP="003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8A" w:rsidRPr="00211A7F" w:rsidRDefault="003D078A" w:rsidP="003D078A">
    <w:pPr>
      <w:pStyle w:val="Footer"/>
      <w:jc w:val="center"/>
      <w:rPr>
        <w:rFonts w:ascii="Tahoma" w:hAnsi="Tahoma" w:cs="Tahoma"/>
      </w:rPr>
    </w:pPr>
    <w:r w:rsidRPr="00211A7F">
      <w:rPr>
        <w:rFonts w:ascii="Tahoma" w:hAnsi="Tahoma" w:cs="Tahoma"/>
      </w:rPr>
      <w:t xml:space="preserve">Page </w:t>
    </w:r>
    <w:r w:rsidRPr="00211A7F">
      <w:rPr>
        <w:rFonts w:ascii="Tahoma" w:hAnsi="Tahoma" w:cs="Tahoma"/>
      </w:rPr>
      <w:fldChar w:fldCharType="begin"/>
    </w:r>
    <w:r w:rsidRPr="00211A7F">
      <w:rPr>
        <w:rFonts w:ascii="Tahoma" w:hAnsi="Tahoma" w:cs="Tahoma"/>
      </w:rPr>
      <w:instrText xml:space="preserve"> PAGE   \* MERGEFORMAT </w:instrText>
    </w:r>
    <w:r w:rsidRPr="00211A7F">
      <w:rPr>
        <w:rFonts w:ascii="Tahoma" w:hAnsi="Tahoma" w:cs="Tahoma"/>
      </w:rPr>
      <w:fldChar w:fldCharType="separate"/>
    </w:r>
    <w:r w:rsidR="00732F6A">
      <w:rPr>
        <w:rFonts w:ascii="Tahoma" w:hAnsi="Tahoma" w:cs="Tahoma"/>
        <w:noProof/>
      </w:rPr>
      <w:t>1</w:t>
    </w:r>
    <w:r w:rsidRPr="00211A7F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4D" w:rsidRDefault="001C024D" w:rsidP="003D078A">
      <w:r>
        <w:separator/>
      </w:r>
    </w:p>
  </w:footnote>
  <w:footnote w:type="continuationSeparator" w:id="0">
    <w:p w:rsidR="001C024D" w:rsidRDefault="001C024D" w:rsidP="003D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8A" w:rsidRDefault="00732F6A" w:rsidP="003D078A">
    <w:pPr>
      <w:pStyle w:val="Header"/>
      <w:jc w:val="center"/>
    </w:pPr>
    <w:r>
      <w:rPr>
        <w:noProof/>
      </w:rPr>
      <w:drawing>
        <wp:inline distT="0" distB="0" distL="0" distR="0" wp14:anchorId="003BE28B" wp14:editId="146E92C4">
          <wp:extent cx="2743200" cy="685800"/>
          <wp:effectExtent l="0" t="0" r="0" b="0"/>
          <wp:docPr id="1" name="Picture 1" descr="B:\Conferences\2015\2015 Logos\solutionsexchange201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Conferences\2015\2015 Logos\solutionsexchange201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78A" w:rsidRDefault="003D078A" w:rsidP="003D0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4F"/>
    <w:multiLevelType w:val="hybridMultilevel"/>
    <w:tmpl w:val="FFA2B57C"/>
    <w:lvl w:ilvl="0" w:tplc="E5FA378E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907719"/>
    <w:multiLevelType w:val="hybridMultilevel"/>
    <w:tmpl w:val="4F8C0B78"/>
    <w:lvl w:ilvl="0" w:tplc="E5FA3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632D9"/>
    <w:multiLevelType w:val="hybridMultilevel"/>
    <w:tmpl w:val="0FD84AD4"/>
    <w:lvl w:ilvl="0" w:tplc="1F52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2F6E3EE">
      <w:start w:val="1"/>
      <w:numFmt w:val="bullet"/>
      <w:lvlText w:val=""/>
      <w:lvlJc w:val="left"/>
      <w:pPr>
        <w:tabs>
          <w:tab w:val="num" w:pos="1440"/>
        </w:tabs>
        <w:ind w:left="1800" w:hanging="72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A30EB"/>
    <w:multiLevelType w:val="hybridMultilevel"/>
    <w:tmpl w:val="DF02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0B83"/>
    <w:multiLevelType w:val="hybridMultilevel"/>
    <w:tmpl w:val="73FAC13E"/>
    <w:lvl w:ilvl="0" w:tplc="DF7C17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F4BE8"/>
    <w:multiLevelType w:val="hybridMultilevel"/>
    <w:tmpl w:val="A846140A"/>
    <w:lvl w:ilvl="0" w:tplc="F190E29A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5136BF"/>
    <w:multiLevelType w:val="hybridMultilevel"/>
    <w:tmpl w:val="4C688620"/>
    <w:lvl w:ilvl="0" w:tplc="E5FA378E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721854"/>
    <w:multiLevelType w:val="hybridMultilevel"/>
    <w:tmpl w:val="B4C0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62B09"/>
    <w:multiLevelType w:val="hybridMultilevel"/>
    <w:tmpl w:val="62584142"/>
    <w:lvl w:ilvl="0" w:tplc="051AEE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A5CD3"/>
    <w:multiLevelType w:val="hybridMultilevel"/>
    <w:tmpl w:val="3014D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4A56F4"/>
    <w:multiLevelType w:val="hybridMultilevel"/>
    <w:tmpl w:val="DA020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E02E09"/>
    <w:multiLevelType w:val="hybridMultilevel"/>
    <w:tmpl w:val="735E68D6"/>
    <w:lvl w:ilvl="0" w:tplc="D742B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50E89"/>
    <w:multiLevelType w:val="hybridMultilevel"/>
    <w:tmpl w:val="45786E54"/>
    <w:lvl w:ilvl="0" w:tplc="E768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A"/>
    <w:rsid w:val="001C024D"/>
    <w:rsid w:val="00211A7F"/>
    <w:rsid w:val="003D078A"/>
    <w:rsid w:val="00532423"/>
    <w:rsid w:val="00732F6A"/>
    <w:rsid w:val="007D682F"/>
    <w:rsid w:val="00AA337A"/>
    <w:rsid w:val="00AC3779"/>
    <w:rsid w:val="00AF60BC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D078A"/>
    <w:pPr>
      <w:ind w:left="720"/>
      <w:jc w:val="center"/>
    </w:pPr>
    <w:rPr>
      <w:sz w:val="28"/>
      <w:szCs w:val="28"/>
      <w:lang w:bidi="he-IL"/>
    </w:rPr>
  </w:style>
  <w:style w:type="character" w:customStyle="1" w:styleId="SubtitleChar">
    <w:name w:val="Subtitle Char"/>
    <w:basedOn w:val="DefaultParagraphFont"/>
    <w:link w:val="Subtitle"/>
    <w:rsid w:val="003D078A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BodyText">
    <w:name w:val="Body Text"/>
    <w:basedOn w:val="Normal"/>
    <w:link w:val="BodyTextChar"/>
    <w:rsid w:val="003D078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D078A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3D07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8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A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D078A"/>
    <w:pPr>
      <w:ind w:left="720"/>
      <w:jc w:val="center"/>
    </w:pPr>
    <w:rPr>
      <w:sz w:val="28"/>
      <w:szCs w:val="28"/>
      <w:lang w:bidi="he-IL"/>
    </w:rPr>
  </w:style>
  <w:style w:type="character" w:customStyle="1" w:styleId="SubtitleChar">
    <w:name w:val="Subtitle Char"/>
    <w:basedOn w:val="DefaultParagraphFont"/>
    <w:link w:val="Subtitle"/>
    <w:rsid w:val="003D078A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BodyText">
    <w:name w:val="Body Text"/>
    <w:basedOn w:val="Normal"/>
    <w:link w:val="BodyTextChar"/>
    <w:rsid w:val="003D078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D078A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3D07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8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A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Thompson</dc:creator>
  <cp:lastModifiedBy>Liz Thompson</cp:lastModifiedBy>
  <cp:revision>3</cp:revision>
  <cp:lastPrinted>2015-08-17T18:36:00Z</cp:lastPrinted>
  <dcterms:created xsi:type="dcterms:W3CDTF">2015-08-17T18:33:00Z</dcterms:created>
  <dcterms:modified xsi:type="dcterms:W3CDTF">2015-08-17T18:42:00Z</dcterms:modified>
</cp:coreProperties>
</file>